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15E4E900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11</w:t>
      </w:r>
      <w:r w:rsidR="00BE41DB">
        <w:rPr>
          <w:rFonts w:ascii="Arial" w:eastAsiaTheme="minorEastAsia" w:hAnsi="Arial" w:cs="Arial"/>
          <w:b/>
          <w:sz w:val="24"/>
          <w:szCs w:val="24"/>
          <w:lang w:val="en-US" w:eastAsia="zh-CN"/>
        </w:rPr>
        <w:t>7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E41D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E47CA9" w:rsidRPr="00E47CA9">
        <w:rPr>
          <w:rFonts w:ascii="Arial" w:eastAsiaTheme="minorEastAsia" w:hAnsi="Arial"/>
          <w:b/>
          <w:sz w:val="24"/>
          <w:szCs w:val="24"/>
          <w:lang w:eastAsia="zh-CN"/>
        </w:rPr>
        <w:t>2522638</w:t>
      </w:r>
    </w:p>
    <w:p w14:paraId="013C9646" w14:textId="7851C963" w:rsidR="00535E66" w:rsidRDefault="00E47CA9" w:rsidP="00535E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Dallas</w:t>
      </w:r>
      <w:r w:rsidR="00566B51" w:rsidRPr="00566B51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en-US" w:eastAsia="zh-CN"/>
        </w:rPr>
        <w:t>US</w:t>
      </w:r>
      <w:r w:rsidR="00566B51" w:rsidRPr="00566B51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BE41DB">
        <w:rPr>
          <w:rFonts w:ascii="Arial" w:hAnsi="Arial"/>
          <w:b/>
          <w:sz w:val="24"/>
          <w:szCs w:val="24"/>
          <w:lang w:val="en-US" w:eastAsia="zh-CN"/>
        </w:rPr>
        <w:t>Nov</w:t>
      </w:r>
      <w:r w:rsidR="00566B51" w:rsidRPr="00566B51">
        <w:rPr>
          <w:rFonts w:ascii="Arial" w:hAnsi="Arial"/>
          <w:b/>
          <w:sz w:val="24"/>
          <w:szCs w:val="24"/>
          <w:lang w:val="en-US" w:eastAsia="zh-CN"/>
        </w:rPr>
        <w:t>. 1</w:t>
      </w:r>
      <w:r w:rsidR="00BE41DB">
        <w:rPr>
          <w:rFonts w:ascii="Arial" w:hAnsi="Arial"/>
          <w:b/>
          <w:sz w:val="24"/>
          <w:szCs w:val="24"/>
          <w:lang w:val="en-US" w:eastAsia="zh-CN"/>
        </w:rPr>
        <w:t>7</w:t>
      </w:r>
      <w:r w:rsidR="00566B51" w:rsidRPr="00566B51">
        <w:rPr>
          <w:rFonts w:ascii="Arial" w:hAnsi="Arial"/>
          <w:b/>
          <w:sz w:val="24"/>
          <w:szCs w:val="24"/>
          <w:lang w:val="en-US" w:eastAsia="zh-CN"/>
        </w:rPr>
        <w:t>-</w:t>
      </w:r>
      <w:r w:rsidR="00BE41DB">
        <w:rPr>
          <w:rFonts w:ascii="Arial" w:hAnsi="Arial"/>
          <w:b/>
          <w:sz w:val="24"/>
          <w:szCs w:val="24"/>
          <w:lang w:val="en-US" w:eastAsia="zh-CN"/>
        </w:rPr>
        <w:t>21</w:t>
      </w:r>
      <w:r w:rsidR="0011150D" w:rsidRPr="0011150D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535E66">
        <w:rPr>
          <w:rFonts w:ascii="Arial" w:hAnsi="Arial"/>
          <w:b/>
          <w:sz w:val="24"/>
          <w:szCs w:val="24"/>
          <w:lang w:eastAsia="zh-CN"/>
        </w:rPr>
        <w:t>2025</w:t>
      </w:r>
    </w:p>
    <w:p w14:paraId="1226C057" w14:textId="3F496761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E47CA9" w:rsidRPr="00E47CA9">
        <w:rPr>
          <w:rFonts w:ascii="Arial" w:hAnsi="Arial" w:cs="Arial"/>
          <w:sz w:val="22"/>
          <w:lang w:eastAsia="zh-CN"/>
        </w:rPr>
        <w:t>WF on NR_MIMO_Ph5_RRM_Part2</w:t>
      </w:r>
    </w:p>
    <w:p w14:paraId="73AD8CE3" w14:textId="38724BDE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566B51">
        <w:rPr>
          <w:rFonts w:ascii="Arial" w:hAnsi="Arial" w:cs="Arial"/>
          <w:sz w:val="22"/>
          <w:lang w:eastAsia="zh-CN"/>
        </w:rPr>
        <w:t>6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566B51">
        <w:rPr>
          <w:rFonts w:ascii="Arial" w:hAnsi="Arial" w:cs="Arial"/>
          <w:sz w:val="22"/>
          <w:lang w:eastAsia="zh-CN"/>
        </w:rPr>
        <w:t>12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717081">
        <w:rPr>
          <w:rFonts w:ascii="Arial" w:hAnsi="Arial" w:cs="Arial"/>
          <w:sz w:val="22"/>
          <w:lang w:eastAsia="zh-CN"/>
        </w:rPr>
        <w:t>1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75A8B63D" w14:textId="5F8F7989" w:rsidR="00F02B89" w:rsidRDefault="00F02B89" w:rsidP="00F02B89">
      <w:pPr>
        <w:pStyle w:val="Heading1"/>
      </w:pPr>
      <w:r>
        <w:t xml:space="preserve">&lt;Topic </w:t>
      </w:r>
      <w:r w:rsidR="00896EBE">
        <w:t>1</w:t>
      </w:r>
      <w:r>
        <w:t xml:space="preserve">: </w:t>
      </w:r>
      <w:r w:rsidR="00EF5BBD" w:rsidRPr="00EF5BBD">
        <w:t>Performance requirements for CJT reporting</w:t>
      </w:r>
      <w:r>
        <w:t>&gt;</w:t>
      </w:r>
    </w:p>
    <w:p w14:paraId="6284FFF7" w14:textId="2187B74B" w:rsidR="009C19FE" w:rsidRPr="00414AE5" w:rsidRDefault="009C19FE" w:rsidP="00643271">
      <w:pPr>
        <w:rPr>
          <w:b/>
          <w:sz w:val="22"/>
          <w:szCs w:val="22"/>
          <w:u w:val="single"/>
          <w:lang w:eastAsia="ko-KR"/>
        </w:rPr>
      </w:pPr>
      <w:r w:rsidRPr="00414AE5">
        <w:rPr>
          <w:b/>
          <w:sz w:val="22"/>
          <w:szCs w:val="22"/>
          <w:u w:val="single"/>
          <w:lang w:eastAsia="ko-KR"/>
        </w:rPr>
        <w:t>Issue 1-1: Accuracy requirements for delay and frequency offset reporting for CJT calibration</w:t>
      </w:r>
    </w:p>
    <w:p w14:paraId="2BF9A5F3" w14:textId="77777777" w:rsidR="00414AE5" w:rsidRPr="00414AE5" w:rsidRDefault="00414AE5" w:rsidP="00414AE5">
      <w:pPr>
        <w:snapToGrid w:val="0"/>
        <w:spacing w:after="120"/>
        <w:rPr>
          <w:rFonts w:eastAsia="DengXian"/>
          <w:sz w:val="22"/>
          <w:szCs w:val="22"/>
        </w:rPr>
      </w:pPr>
      <w:r w:rsidRPr="00414AE5">
        <w:rPr>
          <w:rFonts w:eastAsia="DengXian"/>
          <w:sz w:val="22"/>
          <w:szCs w:val="22"/>
          <w:highlight w:val="green"/>
        </w:rPr>
        <w:t>Agreement:</w:t>
      </w:r>
    </w:p>
    <w:p w14:paraId="23601CB1" w14:textId="77777777" w:rsidR="00414AE5" w:rsidRPr="00414AE5" w:rsidRDefault="00414AE5" w:rsidP="00414AE5">
      <w:pPr>
        <w:pStyle w:val="ListParagraph"/>
        <w:numPr>
          <w:ilvl w:val="0"/>
          <w:numId w:val="40"/>
        </w:numPr>
        <w:snapToGrid w:val="0"/>
        <w:spacing w:after="120"/>
        <w:ind w:firstLineChars="0"/>
        <w:rPr>
          <w:rFonts w:eastAsia="Malgun Gothic"/>
          <w:sz w:val="22"/>
          <w:szCs w:val="22"/>
        </w:rPr>
      </w:pPr>
      <w:r w:rsidRPr="00414AE5">
        <w:rPr>
          <w:rFonts w:eastAsia="Malgun Gothic"/>
          <w:bCs/>
          <w:sz w:val="22"/>
          <w:szCs w:val="22"/>
        </w:rPr>
        <w:t>For FO</w:t>
      </w:r>
      <w:r w:rsidRPr="00414AE5">
        <w:rPr>
          <w:rFonts w:eastAsia="Malgun Gothic"/>
          <w:sz w:val="22"/>
          <w:szCs w:val="22"/>
        </w:rPr>
        <w:t xml:space="preserve">, define two set of accuracy requirements with UE capability based on 3dB SNR, for 0.2ppm and 256 </w:t>
      </w:r>
      <w:proofErr w:type="gramStart"/>
      <w:r w:rsidRPr="00414AE5">
        <w:rPr>
          <w:rFonts w:eastAsia="Malgun Gothic"/>
          <w:sz w:val="22"/>
          <w:szCs w:val="22"/>
        </w:rPr>
        <w:t>levels</w:t>
      </w:r>
      <w:proofErr w:type="gramEnd"/>
    </w:p>
    <w:p w14:paraId="39397BBB" w14:textId="77777777" w:rsidR="00414AE5" w:rsidRPr="00414AE5" w:rsidRDefault="00414AE5" w:rsidP="00414AE5">
      <w:pPr>
        <w:numPr>
          <w:ilvl w:val="1"/>
          <w:numId w:val="40"/>
        </w:numPr>
        <w:snapToGrid w:val="0"/>
        <w:spacing w:after="120"/>
        <w:rPr>
          <w:rFonts w:eastAsia="Malgun Gothic"/>
          <w:sz w:val="22"/>
          <w:szCs w:val="22"/>
        </w:rPr>
      </w:pPr>
      <w:r w:rsidRPr="00414AE5">
        <w:rPr>
          <w:rFonts w:eastAsia="Malgun Gothic"/>
          <w:bCs/>
          <w:sz w:val="22"/>
          <w:szCs w:val="22"/>
        </w:rPr>
        <w:t>For 15kHz SCS, [33] and [3]</w:t>
      </w:r>
    </w:p>
    <w:p w14:paraId="6D4C8F12" w14:textId="55C0E203" w:rsidR="00414AE5" w:rsidRPr="00414AE5" w:rsidRDefault="00414AE5" w:rsidP="00414AE5">
      <w:pPr>
        <w:numPr>
          <w:ilvl w:val="1"/>
          <w:numId w:val="40"/>
        </w:numPr>
        <w:snapToGrid w:val="0"/>
        <w:spacing w:after="120"/>
        <w:rPr>
          <w:rFonts w:eastAsia="Malgun Gothic"/>
          <w:sz w:val="22"/>
          <w:szCs w:val="22"/>
        </w:rPr>
      </w:pPr>
      <w:r w:rsidRPr="00414AE5">
        <w:rPr>
          <w:rFonts w:eastAsia="Malgun Gothic"/>
          <w:bCs/>
          <w:sz w:val="22"/>
          <w:szCs w:val="22"/>
        </w:rPr>
        <w:t>For 30kHz SCS, [68] and [4]</w:t>
      </w:r>
    </w:p>
    <w:p w14:paraId="3AE14A0C" w14:textId="0C0E4014" w:rsidR="00414AE5" w:rsidRPr="00414AE5" w:rsidRDefault="00414AE5" w:rsidP="00414AE5">
      <w:pPr>
        <w:pStyle w:val="ListParagraph"/>
        <w:numPr>
          <w:ilvl w:val="0"/>
          <w:numId w:val="40"/>
        </w:numPr>
        <w:spacing w:after="120"/>
        <w:ind w:firstLineChars="0"/>
        <w:textAlignment w:val="auto"/>
        <w:rPr>
          <w:rFonts w:eastAsiaTheme="minorEastAsia"/>
          <w:bCs/>
          <w:sz w:val="22"/>
          <w:szCs w:val="22"/>
          <w:lang w:eastAsia="zh-CN"/>
        </w:rPr>
      </w:pPr>
      <w:r w:rsidRPr="00414AE5">
        <w:rPr>
          <w:rFonts w:eastAsiaTheme="minorEastAsia"/>
          <w:bCs/>
          <w:sz w:val="22"/>
          <w:szCs w:val="22"/>
          <w:lang w:eastAsia="zh-CN"/>
        </w:rPr>
        <w:t>For DO, define two set of accuracy requirements with UE capability based on 3dB SNR, for CP and 256</w:t>
      </w:r>
      <w:r>
        <w:rPr>
          <w:rFonts w:eastAsiaTheme="minorEastAsia"/>
          <w:bCs/>
          <w:sz w:val="22"/>
          <w:szCs w:val="22"/>
          <w:lang w:eastAsia="zh-CN"/>
        </w:rPr>
        <w:t xml:space="preserve"> </w:t>
      </w:r>
      <w:proofErr w:type="gramStart"/>
      <w:r w:rsidRPr="00414AE5">
        <w:rPr>
          <w:rFonts w:eastAsiaTheme="minorEastAsia"/>
          <w:bCs/>
          <w:sz w:val="22"/>
          <w:szCs w:val="22"/>
          <w:lang w:eastAsia="zh-CN"/>
        </w:rPr>
        <w:t>levels</w:t>
      </w:r>
      <w:proofErr w:type="gramEnd"/>
    </w:p>
    <w:p w14:paraId="5E737683" w14:textId="77777777" w:rsidR="00414AE5" w:rsidRPr="00414AE5" w:rsidRDefault="00414AE5" w:rsidP="00414AE5">
      <w:pPr>
        <w:numPr>
          <w:ilvl w:val="1"/>
          <w:numId w:val="40"/>
        </w:numPr>
        <w:snapToGrid w:val="0"/>
        <w:spacing w:after="120"/>
        <w:rPr>
          <w:rFonts w:eastAsia="Malgun Gothic"/>
          <w:bCs/>
          <w:sz w:val="22"/>
          <w:szCs w:val="22"/>
        </w:rPr>
      </w:pPr>
      <w:r w:rsidRPr="00414AE5">
        <w:rPr>
          <w:rFonts w:eastAsia="Malgun Gothic"/>
          <w:bCs/>
          <w:sz w:val="22"/>
          <w:szCs w:val="22"/>
        </w:rPr>
        <w:t>For 15kHz SCS, 14 and [3</w:t>
      </w:r>
      <w:proofErr w:type="gramStart"/>
      <w:r w:rsidRPr="00414AE5">
        <w:rPr>
          <w:rFonts w:eastAsia="Malgun Gothic"/>
          <w:bCs/>
          <w:sz w:val="22"/>
          <w:szCs w:val="22"/>
        </w:rPr>
        <w:t>];</w:t>
      </w:r>
      <w:proofErr w:type="gramEnd"/>
      <w:r w:rsidRPr="00414AE5">
        <w:rPr>
          <w:rFonts w:eastAsia="Malgun Gothic"/>
          <w:bCs/>
          <w:sz w:val="22"/>
          <w:szCs w:val="22"/>
        </w:rPr>
        <w:t xml:space="preserve"> </w:t>
      </w:r>
    </w:p>
    <w:p w14:paraId="0E9660A0" w14:textId="77777777" w:rsidR="00414AE5" w:rsidRPr="00414AE5" w:rsidRDefault="00414AE5" w:rsidP="00414AE5">
      <w:pPr>
        <w:numPr>
          <w:ilvl w:val="1"/>
          <w:numId w:val="40"/>
        </w:numPr>
        <w:snapToGrid w:val="0"/>
        <w:spacing w:after="120"/>
        <w:rPr>
          <w:rFonts w:eastAsia="Malgun Gothic"/>
          <w:bCs/>
          <w:sz w:val="22"/>
          <w:szCs w:val="22"/>
        </w:rPr>
      </w:pPr>
      <w:r w:rsidRPr="00414AE5">
        <w:rPr>
          <w:rFonts w:eastAsia="Malgun Gothic"/>
          <w:bCs/>
          <w:sz w:val="22"/>
          <w:szCs w:val="22"/>
        </w:rPr>
        <w:t>For 30kHz SCS, 18 and [4]</w:t>
      </w:r>
    </w:p>
    <w:p w14:paraId="1A94C86E" w14:textId="56126131" w:rsidR="00414AE5" w:rsidRDefault="00414AE5" w:rsidP="00414AE5">
      <w:pPr>
        <w:numPr>
          <w:ilvl w:val="0"/>
          <w:numId w:val="40"/>
        </w:numPr>
        <w:snapToGrid w:val="0"/>
        <w:spacing w:after="120"/>
        <w:textAlignment w:val="auto"/>
        <w:rPr>
          <w:rFonts w:eastAsia="Malgun Gothic"/>
          <w:sz w:val="22"/>
          <w:szCs w:val="22"/>
        </w:rPr>
      </w:pPr>
      <w:r>
        <w:rPr>
          <w:rFonts w:eastAsia="Malgun Gothic"/>
          <w:bCs/>
          <w:sz w:val="22"/>
          <w:szCs w:val="22"/>
        </w:rPr>
        <w:t xml:space="preserve">Note: Achieving better accuracy requires advanced UE implementation and hence UE capability to be introduced. </w:t>
      </w:r>
    </w:p>
    <w:p w14:paraId="6FABF2F9" w14:textId="7F5364F3" w:rsidR="00414AE5" w:rsidRPr="00414AE5" w:rsidRDefault="00414AE5" w:rsidP="00414AE5">
      <w:pPr>
        <w:numPr>
          <w:ilvl w:val="1"/>
          <w:numId w:val="40"/>
        </w:numPr>
        <w:snapToGrid w:val="0"/>
        <w:spacing w:after="120"/>
        <w:textAlignment w:val="auto"/>
        <w:rPr>
          <w:rFonts w:eastAsia="Malgun Gothic"/>
          <w:sz w:val="22"/>
          <w:szCs w:val="22"/>
        </w:rPr>
      </w:pPr>
      <w:r>
        <w:rPr>
          <w:rFonts w:eastAsia="Malgun Gothic"/>
          <w:bCs/>
          <w:sz w:val="22"/>
          <w:szCs w:val="22"/>
        </w:rPr>
        <w:t>The Note will not be captured in the CR.</w:t>
      </w:r>
    </w:p>
    <w:p w14:paraId="67611881" w14:textId="4B18B655" w:rsidR="00414AE5" w:rsidRDefault="00414AE5" w:rsidP="00643271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br/>
      </w:r>
    </w:p>
    <w:p w14:paraId="3D50CC6F" w14:textId="77777777" w:rsidR="00414AE5" w:rsidRDefault="00414AE5" w:rsidP="00643271">
      <w:pPr>
        <w:spacing w:after="120"/>
        <w:rPr>
          <w:rFonts w:eastAsia="SimSun"/>
          <w:lang w:eastAsia="zh-CN"/>
        </w:rPr>
      </w:pPr>
    </w:p>
    <w:p w14:paraId="2725EF7B" w14:textId="77777777" w:rsidR="00414AE5" w:rsidRDefault="00414AE5" w:rsidP="00414AE5">
      <w:pPr>
        <w:spacing w:after="120"/>
        <w:rPr>
          <w:rFonts w:eastAsia="SimSun"/>
          <w:lang w:eastAsia="zh-CN"/>
        </w:rPr>
        <w:sectPr w:rsidR="00414AE5" w:rsidSect="007A443E"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6D1B77ED" w14:textId="5EC2DEB0" w:rsidR="00414AE5" w:rsidRDefault="00414AE5" w:rsidP="00414AE5">
      <w:pPr>
        <w:spacing w:after="120"/>
        <w:rPr>
          <w:b/>
          <w:u w:val="single"/>
          <w:lang w:eastAsia="ko-KR"/>
        </w:rPr>
      </w:pPr>
      <w:r w:rsidRPr="00414AE5">
        <w:rPr>
          <w:rFonts w:eastAsia="SimSun"/>
          <w:lang w:eastAsia="zh-CN"/>
        </w:rPr>
        <w:lastRenderedPageBreak/>
        <w:br/>
      </w:r>
      <w:r>
        <w:rPr>
          <w:b/>
          <w:u w:val="single"/>
          <w:lang w:eastAsia="ko-KR"/>
        </w:rPr>
        <w:t>Issue 1-2: On UE capability in Issue 1-1</w:t>
      </w:r>
    </w:p>
    <w:p w14:paraId="0A662F28" w14:textId="6B52B524" w:rsidR="00414AE5" w:rsidRDefault="00414AE5" w:rsidP="00414AE5">
      <w:pPr>
        <w:snapToGrid w:val="0"/>
        <w:spacing w:after="120"/>
        <w:rPr>
          <w:rFonts w:eastAsia="DengXian"/>
          <w:sz w:val="22"/>
          <w:szCs w:val="22"/>
        </w:rPr>
      </w:pPr>
      <w:r w:rsidRPr="00414AE5">
        <w:rPr>
          <w:rFonts w:eastAsia="DengXian"/>
          <w:sz w:val="22"/>
          <w:szCs w:val="22"/>
          <w:highlight w:val="green"/>
        </w:rPr>
        <w:t>Agreement: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3"/>
        <w:gridCol w:w="529"/>
        <w:gridCol w:w="896"/>
        <w:gridCol w:w="1022"/>
        <w:gridCol w:w="978"/>
        <w:gridCol w:w="857"/>
        <w:gridCol w:w="861"/>
        <w:gridCol w:w="1138"/>
        <w:gridCol w:w="1023"/>
        <w:gridCol w:w="1134"/>
        <w:gridCol w:w="1134"/>
        <w:gridCol w:w="1109"/>
        <w:gridCol w:w="831"/>
        <w:gridCol w:w="1549"/>
      </w:tblGrid>
      <w:tr w:rsidR="00414AE5" w:rsidRPr="00414AE5" w14:paraId="11129748" w14:textId="77777777" w:rsidTr="00414AE5">
        <w:trPr>
          <w:trHeight w:val="3067"/>
        </w:trPr>
        <w:tc>
          <w:tcPr>
            <w:tcW w:w="13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C0E809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Features</w:t>
            </w:r>
          </w:p>
        </w:tc>
        <w:tc>
          <w:tcPr>
            <w:tcW w:w="52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928DC5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Index</w:t>
            </w:r>
          </w:p>
        </w:tc>
        <w:tc>
          <w:tcPr>
            <w:tcW w:w="896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572A5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Feature group</w:t>
            </w:r>
          </w:p>
        </w:tc>
        <w:tc>
          <w:tcPr>
            <w:tcW w:w="1022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BE0A2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Components</w:t>
            </w:r>
          </w:p>
        </w:tc>
        <w:tc>
          <w:tcPr>
            <w:tcW w:w="97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8585A4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Prerequisite feature groups</w:t>
            </w:r>
          </w:p>
        </w:tc>
        <w:tc>
          <w:tcPr>
            <w:tcW w:w="8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648F70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Need for the </w:t>
            </w:r>
            <w:proofErr w:type="spellStart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gNB</w:t>
            </w:r>
            <w:proofErr w:type="spellEnd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to know if the feature is supported</w:t>
            </w:r>
          </w:p>
        </w:tc>
        <w:tc>
          <w:tcPr>
            <w:tcW w:w="86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DF91A2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Applicable to the capability </w:t>
            </w:r>
            <w:proofErr w:type="spellStart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signalling</w:t>
            </w:r>
            <w:proofErr w:type="spellEnd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exchange between UEs (</w:t>
            </w:r>
            <w:proofErr w:type="spellStart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Sidelink</w:t>
            </w:r>
            <w:proofErr w:type="spellEnd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WI only)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”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2B471" w14:textId="77777777" w:rsidR="00414AE5" w:rsidRPr="00414AE5" w:rsidRDefault="00414AE5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Consequence if the feature is not supported by the UE</w:t>
            </w:r>
          </w:p>
        </w:tc>
        <w:tc>
          <w:tcPr>
            <w:tcW w:w="89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311C8E" w14:textId="77777777" w:rsidR="00414AE5" w:rsidRPr="00414AE5" w:rsidRDefault="00414AE5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  <w:p w14:paraId="342154B2" w14:textId="77777777" w:rsidR="00414AE5" w:rsidRPr="00414AE5" w:rsidRDefault="00414AE5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(the 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‘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’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definition from UE features should be based on the granularity of 1) Per UE or 2) Per Band or 3) Per BC or 4) Per FS or 5) Per FSPC)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BAF3B9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24EFDB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of FR1/FR2 differentiation</w:t>
            </w:r>
          </w:p>
        </w:tc>
        <w:tc>
          <w:tcPr>
            <w:tcW w:w="110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124A8D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Capability interpretation for mixture of FDD/TDD and/or FR1/FR2</w:t>
            </w:r>
          </w:p>
        </w:tc>
        <w:tc>
          <w:tcPr>
            <w:tcW w:w="83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C2BA39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Note</w:t>
            </w:r>
          </w:p>
        </w:tc>
        <w:tc>
          <w:tcPr>
            <w:tcW w:w="154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6EDC9F" w14:textId="77777777" w:rsidR="00414AE5" w:rsidRPr="00414AE5" w:rsidRDefault="00414AE5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Mandatory/Optional</w:t>
            </w:r>
          </w:p>
        </w:tc>
      </w:tr>
      <w:tr w:rsidR="00414AE5" w:rsidRPr="00414AE5" w14:paraId="118AB4EC" w14:textId="77777777" w:rsidTr="00414AE5">
        <w:trPr>
          <w:trHeight w:val="2780"/>
        </w:trPr>
        <w:tc>
          <w:tcPr>
            <w:tcW w:w="1343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425EA1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62. NR_MIMO_Ph5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35062E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62-1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AD553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UE accuracy for CJTC delay offset reporting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1696FD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 xml:space="preserve">Support of high accuracy reporting for CJTC-Dd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AB267A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59-2-3-1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EFE380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Yes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75C6C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17A8A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UE does not support the requirements for high accuracy reporting for CJTC-Dd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E70222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 w:eastAsia="ja-JP"/>
              </w:rPr>
              <w:t xml:space="preserve">Per band and per BC, or, 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Per UE</w:t>
            </w:r>
          </w:p>
          <w:p w14:paraId="0F49B1E3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Note: Both “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 w:eastAsia="ja-JP"/>
              </w:rPr>
              <w:t>Per band and per BC” and “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Per UE” are feasible from RAN4 perspective, and the decision is up to RAN2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3A1BA6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35C09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FR1 only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2EAFF7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N/A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2189BE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x-none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x-none"/>
              </w:rPr>
              <w:t xml:space="preserve">The high accuracy reporting for CJTC-Dd  is 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defined in TS 38.133 clause 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AE3743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Optional</w:t>
            </w:r>
          </w:p>
        </w:tc>
      </w:tr>
      <w:tr w:rsidR="00414AE5" w:rsidRPr="00414AE5" w14:paraId="4E7A0B09" w14:textId="77777777" w:rsidTr="00414AE5">
        <w:trPr>
          <w:trHeight w:val="2384"/>
        </w:trPr>
        <w:tc>
          <w:tcPr>
            <w:tcW w:w="1343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4B8253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62. NR_MIMO_Ph5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D373A9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62-2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8D524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UE accuracy for CJTC frequency offset reporting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E58925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Support of high accuracy reporting for CJTC -F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CAF35C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59-2-3-2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E6F39F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Yes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1CD1FC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B0855D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UE does not support the requirements for high accuracy reporting for CJTC-F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9324D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 w:eastAsia="ja-JP"/>
              </w:rPr>
              <w:t xml:space="preserve">Per band and per BC, or, 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Per UE</w:t>
            </w:r>
          </w:p>
          <w:p w14:paraId="275D49F3" w14:textId="4D87B44B" w:rsidR="00414AE5" w:rsidRPr="00414AE5" w:rsidRDefault="00414AE5" w:rsidP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Note: Both “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 w:eastAsia="ja-JP"/>
              </w:rPr>
              <w:t>Per band and per BC” and “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Per UE” are feasible from RAN4 perspective, and the decision is up to RAN2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EAC0CD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F343EE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FR1 only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81B190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N/A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85D2AE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x-none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x-none"/>
              </w:rPr>
              <w:t xml:space="preserve">The high accuracy reporting for CJTC-F is </w:t>
            </w: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defined in TS 38.133 clause 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F0304F" w14:textId="77777777" w:rsidR="00414AE5" w:rsidRPr="00414AE5" w:rsidRDefault="00414A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414AE5">
              <w:rPr>
                <w:rFonts w:ascii="Arial" w:hAnsi="Arial" w:cs="Arial"/>
                <w:color w:val="000000"/>
                <w:sz w:val="16"/>
                <w:szCs w:val="16"/>
                <w:highlight w:val="green"/>
                <w:lang w:val="en-US"/>
              </w:rPr>
              <w:t>Optional</w:t>
            </w:r>
          </w:p>
        </w:tc>
      </w:tr>
    </w:tbl>
    <w:p w14:paraId="236B6FE3" w14:textId="6BB00DAC" w:rsidR="00414AE5" w:rsidRDefault="00414AE5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  <w:sectPr w:rsidR="00414AE5" w:rsidSect="00414AE5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272"/>
        </w:sectPr>
      </w:pPr>
    </w:p>
    <w:p w14:paraId="4D9CA9C7" w14:textId="77777777" w:rsidR="00414AE5" w:rsidRDefault="00414AE5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795BD2A4" w14:textId="77777777" w:rsidR="00414AE5" w:rsidRDefault="00414AE5" w:rsidP="00643271">
      <w:pPr>
        <w:spacing w:after="120"/>
        <w:rPr>
          <w:rFonts w:eastAsia="SimSun"/>
          <w:lang w:eastAsia="zh-CN"/>
        </w:rPr>
      </w:pPr>
    </w:p>
    <w:p w14:paraId="2ECB5F6D" w14:textId="77777777" w:rsidR="00414AE5" w:rsidRDefault="00414AE5" w:rsidP="00643271">
      <w:pPr>
        <w:spacing w:after="120"/>
        <w:rPr>
          <w:rFonts w:eastAsia="SimSun"/>
          <w:lang w:eastAsia="zh-CN"/>
        </w:rPr>
      </w:pPr>
    </w:p>
    <w:p w14:paraId="0F9184D4" w14:textId="77777777" w:rsidR="00414AE5" w:rsidRDefault="00414AE5" w:rsidP="00414AE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How to define report mapping tables for CJTC reporting?</w:t>
      </w:r>
    </w:p>
    <w:p w14:paraId="5C68D615" w14:textId="61074DF6" w:rsidR="00414AE5" w:rsidRDefault="001D4787" w:rsidP="00414AE5">
      <w:pPr>
        <w:snapToGrid w:val="0"/>
        <w:spacing w:after="120"/>
        <w:rPr>
          <w:rFonts w:eastAsia="DengXian"/>
          <w:sz w:val="22"/>
          <w:szCs w:val="22"/>
        </w:rPr>
      </w:pPr>
      <w:r w:rsidRPr="001D4787">
        <w:rPr>
          <w:rFonts w:eastAsia="DengXian"/>
          <w:sz w:val="22"/>
          <w:szCs w:val="22"/>
          <w:highlight w:val="green"/>
        </w:rPr>
        <w:t>A</w:t>
      </w:r>
      <w:r w:rsidR="00414AE5" w:rsidRPr="001D4787">
        <w:rPr>
          <w:rFonts w:eastAsia="DengXian"/>
          <w:sz w:val="22"/>
          <w:szCs w:val="22"/>
          <w:highlight w:val="green"/>
        </w:rPr>
        <w:t>greement:</w:t>
      </w:r>
    </w:p>
    <w:p w14:paraId="09A611DF" w14:textId="74D1CC09" w:rsidR="00414AE5" w:rsidRPr="00414AE5" w:rsidRDefault="00414AE5" w:rsidP="00414AE5">
      <w:pPr>
        <w:pStyle w:val="ListParagraph"/>
        <w:numPr>
          <w:ilvl w:val="0"/>
          <w:numId w:val="45"/>
        </w:numPr>
        <w:snapToGrid w:val="0"/>
        <w:spacing w:after="120"/>
        <w:ind w:firstLineChars="0"/>
        <w:rPr>
          <w:rFonts w:eastAsia="DengXian"/>
          <w:sz w:val="22"/>
          <w:szCs w:val="22"/>
        </w:rPr>
      </w:pPr>
      <w:r>
        <w:rPr>
          <w:rFonts w:eastAsia="DengXian"/>
          <w:sz w:val="22"/>
          <w:szCs w:val="22"/>
        </w:rPr>
        <w:t xml:space="preserve">Discuss directly in the </w:t>
      </w:r>
      <w:proofErr w:type="gramStart"/>
      <w:r>
        <w:rPr>
          <w:rFonts w:eastAsia="DengXian"/>
          <w:sz w:val="22"/>
          <w:szCs w:val="22"/>
        </w:rPr>
        <w:t>CR</w:t>
      </w:r>
      <w:proofErr w:type="gramEnd"/>
    </w:p>
    <w:p w14:paraId="7DE7CBA5" w14:textId="77777777" w:rsidR="0000496C" w:rsidRDefault="0000496C" w:rsidP="00643271">
      <w:pPr>
        <w:spacing w:after="120"/>
        <w:rPr>
          <w:rFonts w:eastAsia="SimSun"/>
          <w:lang w:eastAsia="zh-CN"/>
        </w:rPr>
      </w:pPr>
    </w:p>
    <w:p w14:paraId="08D60DEB" w14:textId="77777777" w:rsidR="00011994" w:rsidRDefault="00011994" w:rsidP="00832090">
      <w:pPr>
        <w:rPr>
          <w:color w:val="0070C0"/>
          <w:lang w:eastAsia="zh-CN"/>
        </w:rPr>
      </w:pPr>
    </w:p>
    <w:p w14:paraId="2221288D" w14:textId="59134B88" w:rsidR="00832090" w:rsidRPr="00C047F4" w:rsidRDefault="00C047F4" w:rsidP="00C047F4">
      <w:pPr>
        <w:pStyle w:val="Heading1"/>
      </w:pPr>
      <w:r>
        <w:t xml:space="preserve">&lt;Topic </w:t>
      </w:r>
      <w:r w:rsidR="00550B85">
        <w:t>2</w:t>
      </w:r>
      <w:r>
        <w:t xml:space="preserve">: </w:t>
      </w:r>
      <w:r w:rsidR="0000496C" w:rsidRPr="0000496C">
        <w:t xml:space="preserve">Performance requirements for asymmetric DL </w:t>
      </w:r>
      <w:proofErr w:type="spellStart"/>
      <w:r w:rsidR="0000496C" w:rsidRPr="0000496C">
        <w:t>sTRP</w:t>
      </w:r>
      <w:proofErr w:type="spellEnd"/>
      <w:r w:rsidR="0000496C" w:rsidRPr="0000496C">
        <w:t xml:space="preserve">/UL </w:t>
      </w:r>
      <w:proofErr w:type="spellStart"/>
      <w:r w:rsidR="0000496C" w:rsidRPr="0000496C">
        <w:t>mTRP</w:t>
      </w:r>
      <w:proofErr w:type="spellEnd"/>
      <w:r w:rsidR="0000496C" w:rsidRPr="0000496C">
        <w:t xml:space="preserve"> scenarios</w:t>
      </w:r>
      <w:r>
        <w:t>&gt;</w:t>
      </w:r>
    </w:p>
    <w:p w14:paraId="6AE2B1D5" w14:textId="1A94D4FE" w:rsidR="00B41585" w:rsidRDefault="00B41585" w:rsidP="00AC57D5">
      <w:pPr>
        <w:rPr>
          <w:b/>
          <w:u w:val="single"/>
          <w:lang w:eastAsia="ko-KR"/>
        </w:rPr>
      </w:pPr>
    </w:p>
    <w:p w14:paraId="60630990" w14:textId="77777777" w:rsidR="00414AE5" w:rsidRDefault="00414AE5" w:rsidP="00414AE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2-1: Whether applicability rule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 xml:space="preserve"> scenarios TCs is needed?</w:t>
      </w:r>
    </w:p>
    <w:p w14:paraId="27EB8432" w14:textId="0FBC1309" w:rsidR="00414AE5" w:rsidRPr="00414AE5" w:rsidRDefault="001D4787" w:rsidP="00414AE5">
      <w:pPr>
        <w:snapToGrid w:val="0"/>
        <w:spacing w:after="120"/>
        <w:rPr>
          <w:rFonts w:eastAsia="DengXian"/>
          <w:sz w:val="22"/>
          <w:szCs w:val="22"/>
        </w:rPr>
      </w:pPr>
      <w:r w:rsidRPr="001D4787">
        <w:rPr>
          <w:rFonts w:eastAsia="DengXian"/>
          <w:sz w:val="22"/>
          <w:szCs w:val="22"/>
          <w:highlight w:val="green"/>
        </w:rPr>
        <w:t>A</w:t>
      </w:r>
      <w:r w:rsidR="00414AE5" w:rsidRPr="001D4787">
        <w:rPr>
          <w:rFonts w:eastAsia="DengXian"/>
          <w:sz w:val="22"/>
          <w:szCs w:val="22"/>
          <w:highlight w:val="green"/>
        </w:rPr>
        <w:t>greement:</w:t>
      </w:r>
    </w:p>
    <w:p w14:paraId="00EDDBCB" w14:textId="01C4C33E" w:rsidR="00414AE5" w:rsidRPr="00414AE5" w:rsidRDefault="00414AE5" w:rsidP="00414AE5">
      <w:pPr>
        <w:pStyle w:val="ListParagraph"/>
        <w:numPr>
          <w:ilvl w:val="0"/>
          <w:numId w:val="47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414AE5">
        <w:rPr>
          <w:rFonts w:eastAsia="SimSun"/>
          <w:lang w:eastAsia="zh-CN"/>
        </w:rPr>
        <w:t>For asymmetric TRPs, do not define applicability rules between EN-DC and NR-SA.</w:t>
      </w:r>
    </w:p>
    <w:p w14:paraId="55F0ECEE" w14:textId="77777777" w:rsidR="00AA6116" w:rsidRDefault="00AA6116" w:rsidP="00BE0C87">
      <w:pPr>
        <w:rPr>
          <w:b/>
          <w:u w:val="single"/>
          <w:lang w:eastAsia="ko-KR"/>
        </w:rPr>
      </w:pPr>
    </w:p>
    <w:sectPr w:rsidR="00AA6116" w:rsidSect="00414AE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06E5" w14:textId="77777777" w:rsidR="00E03857" w:rsidRPr="00A10429" w:rsidRDefault="00E0385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8534E17" w14:textId="77777777" w:rsidR="00E03857" w:rsidRPr="00A10429" w:rsidRDefault="00E0385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9791" w14:textId="77777777" w:rsidR="00E03857" w:rsidRPr="00A10429" w:rsidRDefault="00E0385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3C956F" w14:textId="77777777" w:rsidR="00E03857" w:rsidRPr="00A10429" w:rsidRDefault="00E0385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E1"/>
    <w:multiLevelType w:val="hybridMultilevel"/>
    <w:tmpl w:val="0D225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B31FA"/>
    <w:multiLevelType w:val="hybridMultilevel"/>
    <w:tmpl w:val="CC044526"/>
    <w:lvl w:ilvl="0" w:tplc="3E8AB5F4">
      <w:start w:val="59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17744EE"/>
    <w:multiLevelType w:val="hybridMultilevel"/>
    <w:tmpl w:val="48E01B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2728"/>
    <w:multiLevelType w:val="hybridMultilevel"/>
    <w:tmpl w:val="D724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06E19"/>
    <w:multiLevelType w:val="hybridMultilevel"/>
    <w:tmpl w:val="1CFE8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-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</w:abstractNum>
  <w:abstractNum w:abstractNumId="7" w15:restartNumberingAfterBreak="0">
    <w:nsid w:val="34264CA6"/>
    <w:multiLevelType w:val="hybridMultilevel"/>
    <w:tmpl w:val="81BC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F1E19"/>
    <w:multiLevelType w:val="hybridMultilevel"/>
    <w:tmpl w:val="92E610F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9860096"/>
    <w:multiLevelType w:val="hybridMultilevel"/>
    <w:tmpl w:val="34CCCE7A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4047F5F"/>
    <w:multiLevelType w:val="hybridMultilevel"/>
    <w:tmpl w:val="7EF63C1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5065E5"/>
    <w:multiLevelType w:val="hybridMultilevel"/>
    <w:tmpl w:val="AACE0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649BB"/>
    <w:multiLevelType w:val="hybridMultilevel"/>
    <w:tmpl w:val="7DF81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51AA1"/>
    <w:multiLevelType w:val="hybridMultilevel"/>
    <w:tmpl w:val="954E5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63E0E"/>
    <w:multiLevelType w:val="hybridMultilevel"/>
    <w:tmpl w:val="2A9C244E"/>
    <w:lvl w:ilvl="0" w:tplc="4B2AF27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ED1E51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D053F"/>
    <w:multiLevelType w:val="hybridMultilevel"/>
    <w:tmpl w:val="ED06B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F1C69"/>
    <w:multiLevelType w:val="hybridMultilevel"/>
    <w:tmpl w:val="03D446D2"/>
    <w:lvl w:ilvl="0" w:tplc="C0806C1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377D7C"/>
    <w:multiLevelType w:val="hybridMultilevel"/>
    <w:tmpl w:val="C8CA8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52EB5"/>
    <w:multiLevelType w:val="hybridMultilevel"/>
    <w:tmpl w:val="01EAAC5E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A33857"/>
    <w:multiLevelType w:val="multilevel"/>
    <w:tmpl w:val="8B801DB6"/>
    <w:lvl w:ilvl="0">
      <w:numFmt w:val="decimal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ind w:left="3096" w:hanging="360"/>
      </w:pPr>
    </w:lvl>
    <w:lvl w:ilvl="4">
      <w:numFmt w:val="decimal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decimal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numFmt w:val="decimal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numFmt w:val="decimal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numFmt w:val="decimal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740F2F2B"/>
    <w:multiLevelType w:val="multilevel"/>
    <w:tmpl w:val="8B801DB6"/>
    <w:lvl w:ilvl="0">
      <w:numFmt w:val="decimal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numFmt w:val="decimal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numFmt w:val="decimal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numFmt w:val="decimal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numFmt w:val="decimal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numFmt w:val="decimal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2D69D3"/>
    <w:multiLevelType w:val="hybridMultilevel"/>
    <w:tmpl w:val="C644D212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C23C2BA4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2000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893FC2"/>
    <w:multiLevelType w:val="multilevel"/>
    <w:tmpl w:val="7A893F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2131B0"/>
    <w:multiLevelType w:val="hybridMultilevel"/>
    <w:tmpl w:val="3E243E70"/>
    <w:lvl w:ilvl="0" w:tplc="BA7E06CC">
      <w:start w:val="45"/>
      <w:numFmt w:val="bullet"/>
      <w:lvlText w:val="-"/>
      <w:lvlJc w:val="left"/>
      <w:pPr>
        <w:ind w:left="456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num w:numId="1" w16cid:durableId="1063872550">
    <w:abstractNumId w:val="6"/>
  </w:num>
  <w:num w:numId="2" w16cid:durableId="1544705644">
    <w:abstractNumId w:val="15"/>
  </w:num>
  <w:num w:numId="3" w16cid:durableId="1464541858">
    <w:abstractNumId w:val="4"/>
  </w:num>
  <w:num w:numId="4" w16cid:durableId="802699430">
    <w:abstractNumId w:val="4"/>
  </w:num>
  <w:num w:numId="5" w16cid:durableId="1389569298">
    <w:abstractNumId w:val="7"/>
  </w:num>
  <w:num w:numId="6" w16cid:durableId="747310618">
    <w:abstractNumId w:val="6"/>
  </w:num>
  <w:num w:numId="7" w16cid:durableId="1108502768">
    <w:abstractNumId w:val="15"/>
  </w:num>
  <w:num w:numId="8" w16cid:durableId="959069237">
    <w:abstractNumId w:val="4"/>
  </w:num>
  <w:num w:numId="9" w16cid:durableId="2114981897">
    <w:abstractNumId w:val="10"/>
  </w:num>
  <w:num w:numId="10" w16cid:durableId="1100566792">
    <w:abstractNumId w:val="6"/>
  </w:num>
  <w:num w:numId="11" w16cid:durableId="331370693">
    <w:abstractNumId w:val="15"/>
  </w:num>
  <w:num w:numId="12" w16cid:durableId="1933078550">
    <w:abstractNumId w:val="15"/>
  </w:num>
  <w:num w:numId="13" w16cid:durableId="1664118745">
    <w:abstractNumId w:val="15"/>
  </w:num>
  <w:num w:numId="14" w16cid:durableId="1100416011">
    <w:abstractNumId w:val="16"/>
  </w:num>
  <w:num w:numId="15" w16cid:durableId="629408281">
    <w:abstractNumId w:val="25"/>
  </w:num>
  <w:num w:numId="16" w16cid:durableId="987053779">
    <w:abstractNumId w:val="24"/>
  </w:num>
  <w:num w:numId="17" w16cid:durableId="1305624549">
    <w:abstractNumId w:val="0"/>
  </w:num>
  <w:num w:numId="18" w16cid:durableId="162478119">
    <w:abstractNumId w:val="0"/>
  </w:num>
  <w:num w:numId="19" w16cid:durableId="188875264">
    <w:abstractNumId w:val="15"/>
  </w:num>
  <w:num w:numId="20" w16cid:durableId="55587399">
    <w:abstractNumId w:val="25"/>
  </w:num>
  <w:num w:numId="21" w16cid:durableId="52895064">
    <w:abstractNumId w:val="19"/>
  </w:num>
  <w:num w:numId="22" w16cid:durableId="1665472400">
    <w:abstractNumId w:val="24"/>
  </w:num>
  <w:num w:numId="23" w16cid:durableId="306861188">
    <w:abstractNumId w:val="19"/>
  </w:num>
  <w:num w:numId="24" w16cid:durableId="379984829">
    <w:abstractNumId w:val="25"/>
  </w:num>
  <w:num w:numId="25" w16cid:durableId="1633753117">
    <w:abstractNumId w:val="15"/>
  </w:num>
  <w:num w:numId="26" w16cid:durableId="1912812064">
    <w:abstractNumId w:val="9"/>
  </w:num>
  <w:num w:numId="27" w16cid:durableId="913901044">
    <w:abstractNumId w:val="3"/>
  </w:num>
  <w:num w:numId="28" w16cid:durableId="1486238527">
    <w:abstractNumId w:val="8"/>
  </w:num>
  <w:num w:numId="29" w16cid:durableId="751583942">
    <w:abstractNumId w:val="14"/>
  </w:num>
  <w:num w:numId="30" w16cid:durableId="1610240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4315752">
    <w:abstractNumId w:val="24"/>
  </w:num>
  <w:num w:numId="32" w16cid:durableId="587081987">
    <w:abstractNumId w:val="14"/>
  </w:num>
  <w:num w:numId="33" w16cid:durableId="515657608">
    <w:abstractNumId w:val="12"/>
  </w:num>
  <w:num w:numId="34" w16cid:durableId="1100108134">
    <w:abstractNumId w:val="12"/>
  </w:num>
  <w:num w:numId="35" w16cid:durableId="1939436430">
    <w:abstractNumId w:val="22"/>
  </w:num>
  <w:num w:numId="36" w16cid:durableId="1403140388">
    <w:abstractNumId w:val="13"/>
  </w:num>
  <w:num w:numId="37" w16cid:durableId="2066102683">
    <w:abstractNumId w:val="24"/>
  </w:num>
  <w:num w:numId="38" w16cid:durableId="984966170">
    <w:abstractNumId w:val="2"/>
  </w:num>
  <w:num w:numId="39" w16cid:durableId="789203785">
    <w:abstractNumId w:val="20"/>
  </w:num>
  <w:num w:numId="40" w16cid:durableId="1780176410">
    <w:abstractNumId w:val="11"/>
  </w:num>
  <w:num w:numId="41" w16cid:durableId="772945631">
    <w:abstractNumId w:val="23"/>
  </w:num>
  <w:num w:numId="42" w16cid:durableId="1244102182">
    <w:abstractNumId w:val="1"/>
  </w:num>
  <w:num w:numId="43" w16cid:durableId="1140072434">
    <w:abstractNumId w:val="11"/>
  </w:num>
  <w:num w:numId="44" w16cid:durableId="1208492942">
    <w:abstractNumId w:val="24"/>
  </w:num>
  <w:num w:numId="45" w16cid:durableId="1921138439">
    <w:abstractNumId w:val="5"/>
  </w:num>
  <w:num w:numId="46" w16cid:durableId="793450027">
    <w:abstractNumId w:val="21"/>
  </w:num>
  <w:num w:numId="47" w16cid:durableId="94276377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6C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994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A2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4F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BE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50D"/>
    <w:rsid w:val="001120B3"/>
    <w:rsid w:val="001126EF"/>
    <w:rsid w:val="00112B0B"/>
    <w:rsid w:val="00112E66"/>
    <w:rsid w:val="0011368D"/>
    <w:rsid w:val="001148F6"/>
    <w:rsid w:val="00114FA5"/>
    <w:rsid w:val="001155AC"/>
    <w:rsid w:val="00116A2D"/>
    <w:rsid w:val="00116D97"/>
    <w:rsid w:val="00116D98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5B3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BA2"/>
    <w:rsid w:val="0015432E"/>
    <w:rsid w:val="00154449"/>
    <w:rsid w:val="00155EB0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B58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787"/>
    <w:rsid w:val="001D4FDF"/>
    <w:rsid w:val="001D51E5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083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48B"/>
    <w:rsid w:val="001F769A"/>
    <w:rsid w:val="001F7B0F"/>
    <w:rsid w:val="00200D69"/>
    <w:rsid w:val="002013B0"/>
    <w:rsid w:val="0020144A"/>
    <w:rsid w:val="002019EC"/>
    <w:rsid w:val="00202016"/>
    <w:rsid w:val="002044F6"/>
    <w:rsid w:val="0020502B"/>
    <w:rsid w:val="002055A9"/>
    <w:rsid w:val="00205AD7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11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08"/>
    <w:rsid w:val="00290438"/>
    <w:rsid w:val="00290469"/>
    <w:rsid w:val="00290BF1"/>
    <w:rsid w:val="0029122E"/>
    <w:rsid w:val="00291A54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5A0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8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F9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52C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EFD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760"/>
    <w:rsid w:val="003C0BB7"/>
    <w:rsid w:val="003C0CD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634"/>
    <w:rsid w:val="003F173D"/>
    <w:rsid w:val="003F1D57"/>
    <w:rsid w:val="003F23DA"/>
    <w:rsid w:val="003F2E1C"/>
    <w:rsid w:val="003F307B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4A8"/>
    <w:rsid w:val="00413880"/>
    <w:rsid w:val="00413B94"/>
    <w:rsid w:val="00414018"/>
    <w:rsid w:val="00414AE5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4EC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0EA2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1F"/>
    <w:rsid w:val="00471B2C"/>
    <w:rsid w:val="004723D0"/>
    <w:rsid w:val="00472470"/>
    <w:rsid w:val="00472BA0"/>
    <w:rsid w:val="00473D41"/>
    <w:rsid w:val="004747A8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04B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D9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08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E43"/>
    <w:rsid w:val="00530943"/>
    <w:rsid w:val="0053231C"/>
    <w:rsid w:val="00532AA1"/>
    <w:rsid w:val="005335CB"/>
    <w:rsid w:val="00534A2D"/>
    <w:rsid w:val="00534EAD"/>
    <w:rsid w:val="005351DF"/>
    <w:rsid w:val="00535207"/>
    <w:rsid w:val="00535E6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B85"/>
    <w:rsid w:val="005512CE"/>
    <w:rsid w:val="005515DD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B5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CCD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A73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27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86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5EE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B9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A41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11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F32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13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081"/>
    <w:rsid w:val="007174FC"/>
    <w:rsid w:val="00717F8C"/>
    <w:rsid w:val="00720727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0E8"/>
    <w:rsid w:val="00732472"/>
    <w:rsid w:val="00732763"/>
    <w:rsid w:val="00732A4A"/>
    <w:rsid w:val="0073332B"/>
    <w:rsid w:val="0073337E"/>
    <w:rsid w:val="0073372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05"/>
    <w:rsid w:val="007F00E1"/>
    <w:rsid w:val="007F074D"/>
    <w:rsid w:val="007F0C30"/>
    <w:rsid w:val="007F1517"/>
    <w:rsid w:val="007F19C1"/>
    <w:rsid w:val="007F1A35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C8D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6D3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482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3C7"/>
    <w:rsid w:val="00894402"/>
    <w:rsid w:val="0089462D"/>
    <w:rsid w:val="008946FF"/>
    <w:rsid w:val="00894CB2"/>
    <w:rsid w:val="008957E1"/>
    <w:rsid w:val="00895962"/>
    <w:rsid w:val="008963C9"/>
    <w:rsid w:val="00896EBE"/>
    <w:rsid w:val="00897BDF"/>
    <w:rsid w:val="008A03BC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FB7"/>
    <w:rsid w:val="008D3090"/>
    <w:rsid w:val="008D373B"/>
    <w:rsid w:val="008D4416"/>
    <w:rsid w:val="008D4690"/>
    <w:rsid w:val="008D49D9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A45"/>
    <w:rsid w:val="00912B35"/>
    <w:rsid w:val="00912D4E"/>
    <w:rsid w:val="00913094"/>
    <w:rsid w:val="0091476C"/>
    <w:rsid w:val="00914AE9"/>
    <w:rsid w:val="00915043"/>
    <w:rsid w:val="009160C0"/>
    <w:rsid w:val="00916340"/>
    <w:rsid w:val="00917385"/>
    <w:rsid w:val="0092084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4C0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00"/>
    <w:rsid w:val="00940F1E"/>
    <w:rsid w:val="0094108E"/>
    <w:rsid w:val="00942BBA"/>
    <w:rsid w:val="00943253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A1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9FE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258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3FA5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B47"/>
    <w:rsid w:val="00A762A9"/>
    <w:rsid w:val="00A76BFB"/>
    <w:rsid w:val="00A76E5F"/>
    <w:rsid w:val="00A771F7"/>
    <w:rsid w:val="00A779C6"/>
    <w:rsid w:val="00A77D6E"/>
    <w:rsid w:val="00A80EC9"/>
    <w:rsid w:val="00A812BF"/>
    <w:rsid w:val="00A817B8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E4E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116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7D5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2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585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87"/>
    <w:rsid w:val="00BE24F1"/>
    <w:rsid w:val="00BE2B0E"/>
    <w:rsid w:val="00BE2C8B"/>
    <w:rsid w:val="00BE3C60"/>
    <w:rsid w:val="00BE41DB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1D2D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F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43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312E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F4B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06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1"/>
    <w:rsid w:val="00DC3103"/>
    <w:rsid w:val="00DC35D9"/>
    <w:rsid w:val="00DC3CD8"/>
    <w:rsid w:val="00DC4104"/>
    <w:rsid w:val="00DC489C"/>
    <w:rsid w:val="00DC5505"/>
    <w:rsid w:val="00DC55EB"/>
    <w:rsid w:val="00DC61F7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EA1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3857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EB8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CA9"/>
    <w:rsid w:val="00E51347"/>
    <w:rsid w:val="00E5196B"/>
    <w:rsid w:val="00E525AA"/>
    <w:rsid w:val="00E53C9F"/>
    <w:rsid w:val="00E542F5"/>
    <w:rsid w:val="00E54346"/>
    <w:rsid w:val="00E547B9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D62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D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3B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5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AF7"/>
    <w:rsid w:val="00EC44A0"/>
    <w:rsid w:val="00EC4CDB"/>
    <w:rsid w:val="00EC630C"/>
    <w:rsid w:val="00EC6A7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9D7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782"/>
    <w:rsid w:val="00EF3D59"/>
    <w:rsid w:val="00EF3FF4"/>
    <w:rsid w:val="00EF5BBD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90"/>
    <w:rsid w:val="00F71CA4"/>
    <w:rsid w:val="00F72ABC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EEF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38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55EB0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DefaultParagraphFont"/>
    <w:rsid w:val="00AA6116"/>
  </w:style>
  <w:style w:type="character" w:styleId="CommentReference">
    <w:name w:val="annotation reference"/>
    <w:basedOn w:val="DefaultParagraphFont"/>
    <w:uiPriority w:val="99"/>
    <w:semiHidden/>
    <w:unhideWhenUsed/>
    <w:rsid w:val="00515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5E08"/>
  </w:style>
  <w:style w:type="character" w:customStyle="1" w:styleId="CommentTextChar">
    <w:name w:val="Comment Text Char"/>
    <w:basedOn w:val="DefaultParagraphFont"/>
    <w:link w:val="CommentText"/>
    <w:uiPriority w:val="99"/>
    <w:rsid w:val="00515E0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E0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Ogeen Toma</cp:lastModifiedBy>
  <cp:revision>4</cp:revision>
  <dcterms:created xsi:type="dcterms:W3CDTF">2025-11-21T13:48:00Z</dcterms:created>
  <dcterms:modified xsi:type="dcterms:W3CDTF">2025-11-21T16:58:00Z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